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61" w:rsidRDefault="007F1B9F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Чек-лист проверки выполнения </w:t>
      </w:r>
      <w:r>
        <w:rPr>
          <w:rFonts w:ascii="Times New Roman" w:hAnsi="Times New Roman"/>
          <w:b/>
          <w:bCs/>
          <w:u w:val="single"/>
        </w:rPr>
        <w:t xml:space="preserve">дошкольными образовательными </w:t>
      </w:r>
      <w:r>
        <w:rPr>
          <w:rFonts w:ascii="Times New Roman" w:hAnsi="Times New Roman"/>
          <w:b/>
          <w:bCs/>
          <w:color w:val="000000"/>
          <w:u w:val="single"/>
        </w:rPr>
        <w:t>организациями</w:t>
      </w:r>
    </w:p>
    <w:p w:rsidR="005F2761" w:rsidRDefault="007F1B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 показателя 1.1.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</w:r>
    </w:p>
    <w:p w:rsidR="005F2761" w:rsidRDefault="007F1B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на информационных стендах в помещении органи</w:t>
      </w:r>
      <w:r>
        <w:rPr>
          <w:rFonts w:ascii="Times New Roman" w:eastAsia="Times New Roman" w:hAnsi="Times New Roman" w:cs="Times New Roman"/>
          <w:b/>
          <w:color w:val="000000"/>
        </w:rPr>
        <w:t>зации; на официальном сайте организации в информационно-телекоммуникационной</w:t>
      </w:r>
    </w:p>
    <w:p w:rsidR="005F2761" w:rsidRDefault="007F1B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сети «Интернет»</w:t>
      </w:r>
    </w:p>
    <w:p w:rsidR="005F2761" w:rsidRDefault="007F1B9F">
      <w:pPr>
        <w:widowControl w:val="0"/>
        <w:spacing w:after="0" w:line="276" w:lineRule="auto"/>
        <w:ind w:left="709" w:hanging="709"/>
        <w:jc w:val="center"/>
      </w:pPr>
      <w:r>
        <w:rPr>
          <w:rFonts w:ascii="Times New Roman" w:hAnsi="Times New Roman" w:cs="Times New Roman"/>
          <w:sz w:val="18"/>
          <w:szCs w:val="18"/>
        </w:rPr>
        <w:t>(разработан на основании Приложения 2 к Порядку действий в рамках сбора информации о качестве условий оказания услуг Методических рекомендаций по организации работ</w:t>
      </w:r>
      <w:r>
        <w:rPr>
          <w:rFonts w:ascii="Times New Roman" w:hAnsi="Times New Roman" w:cs="Times New Roman"/>
          <w:sz w:val="18"/>
          <w:szCs w:val="18"/>
        </w:rPr>
        <w:t xml:space="preserve">ы в рамках проведения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утвержденных приказом </w:t>
      </w:r>
      <w:r>
        <w:rPr>
          <w:rFonts w:ascii="Times New Roman" w:eastAsia="Times New Roman" w:hAnsi="Times New Roman" w:cs="Times New Roman"/>
          <w:sz w:val="18"/>
          <w:szCs w:val="18"/>
        </w:rPr>
        <w:t>Минтруда России от 28.12.202</w:t>
      </w:r>
      <w:r>
        <w:rPr>
          <w:rFonts w:ascii="Times New Roman" w:eastAsia="Times New Roman" w:hAnsi="Times New Roman" w:cs="Times New Roman"/>
          <w:sz w:val="18"/>
          <w:szCs w:val="18"/>
        </w:rPr>
        <w:t>3 года № 899, и Методических рекомендации 2024 года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</w:t>
      </w:r>
      <w:r>
        <w:rPr>
          <w:rFonts w:ascii="Times New Roman" w:eastAsia="Times New Roman" w:hAnsi="Times New Roman" w:cs="Times New Roman"/>
          <w:sz w:val="18"/>
          <w:szCs w:val="18"/>
        </w:rPr>
        <w:t>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</w:t>
      </w:r>
    </w:p>
    <w:p w:rsidR="005F2761" w:rsidRDefault="005F2761">
      <w:pPr>
        <w:spacing w:after="0" w:line="240" w:lineRule="auto"/>
        <w:jc w:val="center"/>
      </w:pPr>
    </w:p>
    <w:p w:rsidR="005F2761" w:rsidRDefault="007F1B9F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>ФИО эксперта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:rsidR="005F2761" w:rsidRDefault="007F1B9F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 ______________________________________________________</w:t>
      </w:r>
    </w:p>
    <w:p w:rsidR="005F2761" w:rsidRDefault="007F1B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 xml:space="preserve">Проставьте соответствующие баллы в пустых ячейках формы </w:t>
      </w:r>
    </w:p>
    <w:tbl>
      <w:tblPr>
        <w:tblStyle w:val="StGen7"/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1"/>
        <w:gridCol w:w="966"/>
        <w:gridCol w:w="1728"/>
        <w:gridCol w:w="1985"/>
        <w:gridCol w:w="1701"/>
        <w:gridCol w:w="27"/>
        <w:gridCol w:w="1114"/>
        <w:gridCol w:w="7"/>
        <w:gridCol w:w="2249"/>
        <w:gridCol w:w="6"/>
        <w:gridCol w:w="6"/>
      </w:tblGrid>
      <w:tr w:rsidR="005F2761">
        <w:trPr>
          <w:gridAfter w:val="1"/>
          <w:wAfter w:w="6" w:type="dxa"/>
          <w:trHeight w:val="20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66" w:right="-3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5F2761" w:rsidRDefault="005F2761">
            <w:pPr>
              <w:widowControl w:val="0"/>
              <w:spacing w:after="0" w:line="216" w:lineRule="auto"/>
              <w:ind w:left="-66" w:right="-36"/>
              <w:jc w:val="center"/>
            </w:pPr>
          </w:p>
          <w:p w:rsidR="005F2761" w:rsidRDefault="005F2761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7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официальном сайте организации в сети «Интернет»</w:t>
            </w: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установ-ленное требование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76" w:right="-9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наличие, полнота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76" w:right="-91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1 - информация соответствует названию и представлена в полном объеме (например, представлен документ с копиями всех приложений),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76" w:right="-91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0,5 - информация представлена частично (например, представлен основной документ без копий приложений или представлены не все необходимые документы/ информация);</w:t>
            </w:r>
          </w:p>
          <w:p w:rsidR="005F2761" w:rsidRDefault="007F1B9F">
            <w:pPr>
              <w:widowControl w:val="0"/>
              <w:spacing w:after="0" w:line="216" w:lineRule="auto"/>
              <w:ind w:left="-76" w:right="-9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0 - информация отсутствует </w:t>
            </w:r>
            <w:r>
              <w:rPr>
                <w:rStyle w:val="af1"/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98"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актуальность, достоверность, неизбыточность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98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1 - информация актуаль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на: нормативные документы, локальные нормативные акты и пр. обновлены в соответствии с действующим законодательством; иная информация соответствует действительности – место нахождения организации, график работы, сведения о руководителе и сотрудниках и пр.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5F2761" w:rsidRDefault="007F1B9F">
            <w:pPr>
              <w:widowControl w:val="0"/>
              <w:spacing w:after="0" w:line="216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0,5 - информация неактуальна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удобство, доступность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38" w:right="-8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– информация легко доступна, понятно и логично  расположена,  может быть найдена через встроенный поисковый сервис сайта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38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0,5 – информация есть на сайте, но для ее поиска необходимо приложить значительные усилия (нет поиска по сайту, непрозрачное меню и пр.)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90"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итоговое значение </w:t>
            </w:r>
          </w:p>
          <w:p w:rsidR="005F2761" w:rsidRDefault="005F2761">
            <w:pPr>
              <w:widowControl w:val="0"/>
              <w:spacing w:after="0" w:line="216" w:lineRule="auto"/>
              <w:ind w:left="-90" w:right="-108"/>
              <w:jc w:val="center"/>
            </w:pPr>
          </w:p>
          <w:p w:rsidR="005F2761" w:rsidRDefault="007F1B9F">
            <w:pPr>
              <w:widowControl w:val="0"/>
              <w:spacing w:after="0" w:line="216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значений столбцов 8,9 и 10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фото/скриншота, подтверждающего наличие информации</w:t>
            </w: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Информация о полном и сокращенном (при наличии) наименовании образовательной организации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Информация о дате создания образовательной организации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 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 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«Об образован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Информация о структуре и об органах управления образовательной организации (в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N 63-ФЗ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 электронной подписи»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 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 О реализуемых уровнях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 О формах обучения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 О нормативных сроках обучения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 О сроке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ействия государственной аккредитации образовательных программ (при наличии государственной аккредитации), общественной, профессионально-общественной аккредитации образовательных программ (при наличии общественной, профессионально-общественной аккредитации)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 О языка(х), на котором(ых) осуществляется образование (обучение)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 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 О практике, предусмотренной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соответствующей образовательной программой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 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5F2761" w:rsidRDefault="005F2761">
            <w:pPr>
              <w:widowControl w:val="0"/>
              <w:spacing w:after="0" w:line="216" w:lineRule="auto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 Об учебном плане с приложением его в виде электронного документа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 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 О календарном учебном графике с приложением его в виде электронного документа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5F2761" w:rsidRDefault="005F2761">
            <w:pPr>
              <w:widowControl w:val="0"/>
              <w:spacing w:after="0" w:line="216" w:lineRule="auto"/>
              <w:ind w:left="720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 О методических и иных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закона от 29 декабря 2012 г. N 273-ФЗ «Об образовании в Российской Федерации», в виде электронного документа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 Об общей численности обучающихся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 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 (в том числе с выделением численности обучающихся, являющихся иностранными гражданами)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3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 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5F2761" w:rsidRDefault="005F2761">
            <w:pPr>
              <w:widowControl w:val="0"/>
              <w:spacing w:after="0" w:line="216" w:lineRule="auto"/>
              <w:ind w:left="720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 Об уровне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 О коде и наименовании профессии, специальности, направления подготовки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 О направлениях и результатах научной (научно-исследовательской) деятельности (при осуществлении научной (научно-исследовательской) деятельности)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 О резул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ьтатах приема по каждой профессии, по каждой специальности среднего профессионального образования (при наличии вступительных испытаний) (на места, финансируемые за счет бюджетных ассигнований федерального бюджета, бюджетов субъектов Российской Федерации,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естных бюджетов и по договорам об образовании за счет средств физических и (или) юридических лиц); о средней сумме набранных баллов по всем вступительным испытаниям (при наличии вступительных испытаний); о результатах перевода, восстановления и отчисления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 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4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 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руководителя, его заместителей; контактные телефоны; адреса электронной почты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4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 Информация о персональном составе педагогических работников с указанием уровня образования, квалификации и опыта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4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 Информация о материально-техническом обеспечении образовательной деятельности (в том чис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 о наличии оборудованных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кабинетов, объектов для проведения практических занятий, библиотек, объектов спорта, средств обучения и воспитания)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5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35. Информация об условиях питания обучающихся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5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 Информация об условиях охраны здоровья обучающихся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5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37. Информация о доступе к информационным системам и информационно-телекоммуникационным сетям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6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 Информация об электронных образовательных ресурсах, к которым обеспечивается доступ обучающихся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6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39. О специально оборудованных учебных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6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 Об обеспечении беспрепятственного доступа в здания образовательной организации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9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 О специальных условиях питания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10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 О специальных условиях охраны здоровья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10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 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10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 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1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 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1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 О наличии условий для беспрепятственного доступа в общежитие, интернат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7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 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 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12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 Информация о международной аккредитации образовательных программ (при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13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 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 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52. 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латы за проживание в общежитии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 Информация о трудоустройстве выпускников (в виде численности трудоустроенных выпускников прошлого учебного года образования)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 Информация об объеме образовате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 Информация о поступлении финансовых и материальных средств по итогам финансового года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 Информация о расходовании финансовых и материальных средств по итогам финансового года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 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 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 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 Отчет о результатах самообследования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 Устав образовательной организации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 Свидетельство о государственной аккредитации (с приложениями) (при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</w:pPr>
            <w:r>
              <w:rPr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5F2761" w:rsidRDefault="005F2761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63. Локальные нормативные акты, предусмотренные частью 2 статьи 30  Федерального закона от 29 декабря 2012 г. N 273-ФЗ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"Об образовании в Российской Федерации" (по основным вопросам организации и осуществления образовательной деятельности, в том числе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регламентирующие правила приема обучающихся, режим занятий обучающихся, формы, периодичность и порядок текущего контроля усп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1"/>
          <w:wAfter w:w="6" w:type="dxa"/>
          <w:trHeight w:val="253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64. 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F2761">
        <w:trPr>
          <w:gridAfter w:val="2"/>
          <w:wAfter w:w="12" w:type="dxa"/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761" w:rsidRDefault="005F276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F2761" w:rsidRDefault="005F276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информации (максимальное количество для ДОО), подлежащей размещению на сайте: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bottom"/>
          </w:tcPr>
          <w:p w:rsidR="005F2761" w:rsidRDefault="007F1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0000"/>
          </w:tcPr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</w:pPr>
          </w:p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</w:pPr>
          </w:p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Сумма по столбцу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</w:tcPr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black"/>
              </w:rPr>
            </w:pPr>
          </w:p>
        </w:tc>
      </w:tr>
      <w:tr w:rsidR="005F2761">
        <w:trPr>
          <w:trHeight w:val="2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F2761" w:rsidRDefault="007F1B9F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9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F2761" w:rsidRDefault="005F2761"/>
          <w:p w:rsidR="005F2761" w:rsidRDefault="005F2761"/>
          <w:p w:rsidR="005F2761" w:rsidRDefault="005F2761"/>
          <w:p w:rsidR="005F2761" w:rsidRDefault="005F2761"/>
          <w:p w:rsidR="005F2761" w:rsidRDefault="005F2761"/>
          <w:p w:rsidR="005F2761" w:rsidRDefault="005F2761"/>
        </w:tc>
      </w:tr>
    </w:tbl>
    <w:p w:rsidR="005F2761" w:rsidRDefault="005F2761">
      <w:pPr>
        <w:spacing w:after="0" w:line="240" w:lineRule="auto"/>
        <w:jc w:val="both"/>
      </w:pPr>
    </w:p>
    <w:p w:rsidR="005F2761" w:rsidRDefault="007F1B9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Условные обозначения:</w:t>
      </w:r>
    </w:p>
    <w:p w:rsidR="005F2761" w:rsidRDefault="007F1B9F" w:rsidP="007F1B9F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информация (единица информации) учитывается в расчете нормативного количества материалов/единиц информации.</w:t>
      </w:r>
    </w:p>
    <w:p w:rsidR="005F2761" w:rsidRDefault="007F1B9F">
      <w:pPr>
        <w:widowControl w:val="0"/>
        <w:spacing w:after="0" w:line="240" w:lineRule="auto"/>
        <w:ind w:left="709" w:hanging="352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информация (единица информации)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учитывается в расчете нормативного количества материалов/единиц информации, т.к.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не должна быть представлена</w:t>
      </w:r>
    </w:p>
    <w:p w:rsidR="005F2761" w:rsidRDefault="007F1B9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*     информация должна быть представлена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при наличии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образовательной организации</w:t>
      </w:r>
    </w:p>
    <w:p w:rsidR="005F2761" w:rsidRDefault="005F2761">
      <w:pPr>
        <w:widowControl w:val="0"/>
        <w:spacing w:before="240" w:after="0" w:line="240" w:lineRule="auto"/>
      </w:pPr>
    </w:p>
    <w:p w:rsidR="005F2761" w:rsidRDefault="007F1B9F">
      <w:pPr>
        <w:widowControl w:val="0"/>
        <w:spacing w:before="240"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 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дошкольной образовательной организации 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5F2761" w:rsidRDefault="005F2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761" w:rsidRDefault="005F276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5F2761" w:rsidRDefault="005F276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5F2761" w:rsidRDefault="005F2761">
      <w:pPr>
        <w:spacing w:after="0" w:line="240" w:lineRule="atLeast"/>
        <w:rPr>
          <w:rFonts w:ascii="Times New Roman" w:hAnsi="Times New Roman"/>
          <w:b/>
          <w:bCs/>
          <w:color w:val="000000"/>
          <w:u w:val="single"/>
        </w:rPr>
      </w:pPr>
    </w:p>
    <w:p w:rsidR="005F2761" w:rsidRDefault="007F1B9F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Чек-лист проверки выполн</w:t>
      </w:r>
      <w:r>
        <w:rPr>
          <w:rFonts w:ascii="Times New Roman" w:eastAsia="Times New Roman" w:hAnsi="Times New Roman" w:cs="Times New Roman"/>
          <w:b/>
          <w:color w:val="000000"/>
        </w:rPr>
        <w:t xml:space="preserve">ения </w:t>
      </w:r>
      <w:r>
        <w:rPr>
          <w:rFonts w:ascii="Times New Roman" w:hAnsi="Times New Roman"/>
          <w:b/>
          <w:bCs/>
          <w:u w:val="single"/>
        </w:rPr>
        <w:t xml:space="preserve">дошкольными образовательными </w:t>
      </w:r>
      <w:r>
        <w:rPr>
          <w:rFonts w:ascii="Times New Roman" w:hAnsi="Times New Roman"/>
          <w:b/>
          <w:bCs/>
          <w:color w:val="000000"/>
          <w:u w:val="single"/>
        </w:rPr>
        <w:t>организациями</w:t>
      </w:r>
    </w:p>
    <w:p w:rsidR="005F2761" w:rsidRDefault="007F1B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показателя 1.1.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</w:t>
      </w:r>
      <w:r>
        <w:rPr>
          <w:rFonts w:ascii="Times New Roman" w:eastAsia="Times New Roman" w:hAnsi="Times New Roman" w:cs="Times New Roman"/>
          <w:b/>
          <w:color w:val="000000"/>
        </w:rPr>
        <w:t>и:</w:t>
      </w:r>
      <w:r>
        <w:rPr>
          <w:rFonts w:ascii="Times New Roman" w:eastAsia="Times New Roman" w:hAnsi="Times New Roman" w:cs="Times New Roman"/>
          <w:b/>
          <w:color w:val="000000"/>
        </w:rPr>
        <w:br/>
        <w:t>на информационных стендах в помещении организации; на официальном сайте организации в информационно-телекоммуникационной</w:t>
      </w:r>
      <w:r>
        <w:rPr>
          <w:rFonts w:ascii="Times New Roman" w:eastAsia="Times New Roman" w:hAnsi="Times New Roman" w:cs="Times New Roman"/>
          <w:b/>
          <w:color w:val="000000"/>
        </w:rPr>
        <w:br/>
        <w:t>сети Интернет</w:t>
      </w:r>
    </w:p>
    <w:p w:rsidR="005F2761" w:rsidRDefault="007F1B9F">
      <w:pPr>
        <w:widowControl w:val="0"/>
        <w:spacing w:after="0" w:line="276" w:lineRule="auto"/>
        <w:ind w:left="85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(разработан на основании Приложения 2 к Порядку действий в рамках сбора информации о качестве условий оказания услуг Методических рекомендаций по организации работы в рамках проведения оценки качества условий оказания услуг организациями в сфере культуры, </w:t>
      </w:r>
      <w:r>
        <w:rPr>
          <w:rFonts w:ascii="Times New Roman" w:hAnsi="Times New Roman" w:cs="Times New Roman"/>
          <w:sz w:val="18"/>
          <w:szCs w:val="18"/>
        </w:rPr>
        <w:t xml:space="preserve">охраны здоровья, образования, социального обслуживания и федеральными учреждениями медико-социальной экспертизы, утвержденных приказом </w:t>
      </w:r>
      <w:r>
        <w:rPr>
          <w:rFonts w:ascii="Times New Roman" w:eastAsia="Times New Roman" w:hAnsi="Times New Roman" w:cs="Times New Roman"/>
          <w:sz w:val="18"/>
          <w:szCs w:val="18"/>
        </w:rPr>
        <w:t>Минтруда России от 28.12.2023 года № 899, и Методических рекомендации 2024 года к единому порядку расчета показателей нез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</w:t>
      </w:r>
      <w:r>
        <w:rPr>
          <w:rFonts w:ascii="Times New Roman" w:eastAsia="Times New Roman" w:hAnsi="Times New Roman" w:cs="Times New Roman"/>
          <w:sz w:val="18"/>
          <w:szCs w:val="18"/>
        </w:rPr>
        <w:t>программам профессионального обучения, дополнительным общеобразовательным программам (с учетом отраслевых особенностей)</w:t>
      </w:r>
    </w:p>
    <w:p w:rsidR="005F2761" w:rsidRDefault="007F1B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17dp8vu"/>
      <w:bookmarkEnd w:id="1"/>
      <w:r>
        <w:rPr>
          <w:rFonts w:ascii="Times New Roman" w:eastAsia="Times New Roman" w:hAnsi="Times New Roman" w:cs="Times New Roman"/>
          <w:color w:val="000000"/>
        </w:rPr>
        <w:t>ФИО эксперта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5F2761" w:rsidRDefault="007F1B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 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5F2761" w:rsidRDefault="007F1B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bookmarkStart w:id="2" w:name="_3rdcrjn"/>
      <w:bookmarkEnd w:id="2"/>
      <w:r>
        <w:rPr>
          <w:rFonts w:ascii="Times New Roman" w:eastAsia="Times New Roman" w:hAnsi="Times New Roman" w:cs="Times New Roman"/>
          <w:i/>
          <w:color w:val="000000"/>
        </w:rPr>
        <w:t xml:space="preserve">Проставьте соответствующие баллы в пустых ячейках формы </w:t>
      </w:r>
    </w:p>
    <w:p w:rsidR="005F2761" w:rsidRDefault="005F2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StGen6"/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0"/>
        <w:gridCol w:w="1076"/>
        <w:gridCol w:w="1514"/>
        <w:gridCol w:w="1581"/>
        <w:gridCol w:w="3278"/>
        <w:gridCol w:w="1109"/>
        <w:gridCol w:w="1509"/>
      </w:tblGrid>
      <w:tr w:rsidR="005F2761">
        <w:trPr>
          <w:trHeight w:val="20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информации </w:t>
            </w:r>
          </w:p>
          <w:p w:rsidR="005F2761" w:rsidRDefault="005F2761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5F2761" w:rsidRDefault="005F2761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информационных стендах в помещении организации </w:t>
            </w:r>
          </w:p>
        </w:tc>
      </w:tr>
      <w:tr w:rsidR="005F2761">
        <w:trPr>
          <w:trHeight w:val="20"/>
        </w:trPr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установ-ленное требование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наличие, полнота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1 - информация соответствует названию и представлена в полном объеме (например, представлен документ с копиями всех приложений),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0,5 - информация представлена частично (например, представлен основной документ без копий приложений или представлены не все не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обходимые документы/ информация);</w:t>
            </w:r>
          </w:p>
          <w:p w:rsidR="005F2761" w:rsidRDefault="007F1B9F">
            <w:pPr>
              <w:widowControl w:val="0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0 - информация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 xml:space="preserve">отсутствует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97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актуальность, достоверность, неизбыточность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vertAlign w:val="superscript"/>
              </w:rPr>
              <w:t>6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97" w:right="-1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1 - информация актуальна: нормативные документы, локальные нормативные акты и пр. обновлены в соответствии с действующим законодательством; иная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информация соответствует действительности – место нахождения организации, график работы, сведения о руководителе и сотрудниках и пр.  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97" w:right="-1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0,5 - информация неактуальна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удобство, доступность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– стенды, на которых размещена данная информация, доступны неограниченному кругу лиц, на входе в организацию, расстояние до стендов и высота размещения информации позволяют ознакомиться с ней без осложнений, в удобном для чтения формате, на уровне глаз 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олучателей услуг (1,5 м. +/- 10% от пола), печатные материалы (брошюры, буклеты и пр.) доступны для получателя услуги местах, предусмотренных уполномоченным органом власти; </w:t>
            </w:r>
          </w:p>
          <w:p w:rsidR="005F2761" w:rsidRDefault="007F1B9F">
            <w:pPr>
              <w:widowControl w:val="0"/>
              <w:shd w:val="clear" w:color="auto" w:fill="FFFFFF"/>
              <w:spacing w:after="0" w:line="216" w:lineRule="auto"/>
              <w:ind w:left="-11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0,5 – информация есть на стенде (в печатных материалах), но для ее поиска необходимо приложить значительные усилия (стенды расположены не на первом этаже, доступ к ним ограничен, печатные материалы не размещены в установленных местах и пр.)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ение </w:t>
            </w:r>
          </w:p>
          <w:p w:rsidR="005F2761" w:rsidRDefault="005F2761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значений столбцов</w:t>
            </w:r>
          </w:p>
          <w:p w:rsidR="005F2761" w:rsidRDefault="007F1B9F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3, 4 и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фото, подтверждающего наличие информации</w:t>
            </w:r>
          </w:p>
        </w:tc>
      </w:tr>
      <w:tr w:rsidR="005F2761">
        <w:trPr>
          <w:trHeight w:val="20"/>
        </w:trPr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/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структурных подразделений (органов управления) образовательной организации (при наличии); адреса официальных сайтов в сети "Интернет" структурных подразделений (при наличии); адреса электронной почты структурных подразделений (органов управления)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азовательной организации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Свидетельство о государственной аккредитации (с приложениями)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Локальные нормативные акты, предусмотренные частью 2 статьи 30 Федерального закона от 29 декабря 2012 г. N 273-ФЗ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образовании в Российской Федерации"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 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 Лицензия на осуществление образовательной деятельности (с приложениями)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7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 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программ (при наличии)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7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 Информация о календарном учебном графике с приложением его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электронного документа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5F2761" w:rsidRDefault="005F2761">
            <w:pPr>
              <w:widowControl w:val="0"/>
              <w:spacing w:after="0" w:line="216" w:lineRule="auto"/>
              <w:rPr>
                <w:color w:val="00000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7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 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00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 Информацию о результатах приема по каждой профессии, по каждой специальности среднего профессионального образования (при наличии вступительных испытаний) (на места, финансируемые за счет бюджетных ассигнований федерального бюджета, бюджетов субъектов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оссийской Федерации, местных бюджетов и по договорам об образовании за счет средств физических и (или) юридических лиц); о средней сумме набранных баллов по всем вступительным испытаниям (при наличии вступительных испытаний), а также о результатах перевода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восстановления и отчисления 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5F2761" w:rsidRDefault="005F2761">
            <w:pPr>
              <w:widowControl w:val="0"/>
              <w:spacing w:after="0" w:line="216" w:lineRule="auto"/>
              <w:rPr>
                <w:color w:val="00000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7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 Информация о руководителе образовательной организации, его заместителях,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7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 Информация о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дисциплины (модули)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5F2761" w:rsidP="007F1B9F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527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 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+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761" w:rsidRDefault="005F2761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Объем информации (количество материалов/единиц информации) о деятельности организации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F2761" w:rsidRDefault="007F1B9F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Сумма по столбцу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</w:tcPr>
          <w:p w:rsidR="005F2761" w:rsidRDefault="005F276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Комментарии, замечания, выявленные недостатки </w:t>
            </w: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5F2761"/>
          <w:p w:rsidR="005F2761" w:rsidRDefault="005F2761"/>
          <w:p w:rsidR="005F2761" w:rsidRDefault="005F2761"/>
          <w:p w:rsidR="005F2761" w:rsidRDefault="005F2761"/>
        </w:tc>
      </w:tr>
    </w:tbl>
    <w:p w:rsidR="005F2761" w:rsidRDefault="007F1B9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Условные обозначения:</w:t>
      </w:r>
    </w:p>
    <w:p w:rsidR="005F2761" w:rsidRDefault="007F1B9F" w:rsidP="007F1B9F">
      <w:pPr>
        <w:widowControl w:val="0"/>
        <w:numPr>
          <w:ilvl w:val="0"/>
          <w:numId w:val="14"/>
        </w:numPr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информация (единица информации) учитывается в расчете нормативного количества материалов/единиц информации.</w:t>
      </w:r>
    </w:p>
    <w:p w:rsidR="005F2761" w:rsidRDefault="007F1B9F">
      <w:pPr>
        <w:widowControl w:val="0"/>
        <w:spacing w:after="0" w:line="240" w:lineRule="auto"/>
        <w:ind w:left="709" w:hanging="352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информация (единица информации)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учитывается в расчете нормативного количества материалов/единиц информации, т.к.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не должна быть представлена</w:t>
      </w:r>
    </w:p>
    <w:p w:rsidR="005F2761" w:rsidRDefault="007F1B9F">
      <w:pPr>
        <w:widowControl w:val="0"/>
        <w:spacing w:before="240"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Подпись эксперта 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дошкольной образовательной организации 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5F2761" w:rsidRDefault="007F1B9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3" w:name="_35nkun2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Чек-лист проверки наличия и функционирования  в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дошкольной образовательной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организации</w:t>
      </w:r>
    </w:p>
    <w:p w:rsidR="005F2761" w:rsidRDefault="007F1B9F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дистанционных способов взаимодействия с получат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елями услуг</w:t>
      </w:r>
    </w:p>
    <w:p w:rsidR="005F2761" w:rsidRDefault="007F1B9F">
      <w:pPr>
        <w:widowControl w:val="0"/>
        <w:spacing w:after="0" w:line="276" w:lineRule="auto"/>
        <w:ind w:left="709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(разработан на основании Приложения 2 к Порядку действий в рамках сбора информации о качестве условий оказания услуг Методических реком</w:t>
      </w:r>
      <w:r>
        <w:rPr>
          <w:rFonts w:ascii="Times New Roman" w:hAnsi="Times New Roman" w:cs="Times New Roman"/>
          <w:sz w:val="18"/>
          <w:szCs w:val="18"/>
        </w:rPr>
        <w:t xml:space="preserve">ендаций по организации работы в рамках проведения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утвержденных приказом </w:t>
      </w:r>
      <w:r>
        <w:rPr>
          <w:rFonts w:ascii="Times New Roman" w:eastAsia="Times New Roman" w:hAnsi="Times New Roman" w:cs="Times New Roman"/>
          <w:sz w:val="18"/>
          <w:szCs w:val="18"/>
        </w:rPr>
        <w:t>Минтруда России от 28.12.2023 года № 899, и Методических рекомендации 2024 года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</w:t>
      </w:r>
    </w:p>
    <w:p w:rsidR="005F2761" w:rsidRDefault="005F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761" w:rsidRDefault="007F1B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4" w:name="_1ksv4uv"/>
      <w:bookmarkEnd w:id="4"/>
      <w:r>
        <w:rPr>
          <w:rFonts w:ascii="Times New Roman" w:eastAsia="Times New Roman" w:hAnsi="Times New Roman" w:cs="Times New Roman"/>
          <w:color w:val="000000"/>
        </w:rPr>
        <w:t>ФИО эксперта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</w:t>
      </w:r>
    </w:p>
    <w:p w:rsidR="005F2761" w:rsidRDefault="007F1B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 ______________________________________________________</w:t>
      </w:r>
    </w:p>
    <w:p w:rsidR="005F2761" w:rsidRDefault="007F1B9F">
      <w:pPr>
        <w:spacing w:after="0" w:line="240" w:lineRule="auto"/>
        <w:ind w:left="2124" w:firstLine="707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Проставьте соответствующие баллы в пустых ячейках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StGen8"/>
        <w:tblW w:w="15747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626"/>
        <w:gridCol w:w="3942"/>
        <w:gridCol w:w="992"/>
        <w:gridCol w:w="1276"/>
        <w:gridCol w:w="1704"/>
        <w:gridCol w:w="1698"/>
        <w:gridCol w:w="3193"/>
        <w:gridCol w:w="1316"/>
      </w:tblGrid>
      <w:tr w:rsidR="005F2761">
        <w:trPr>
          <w:trHeight w:val="2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Критерий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70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8863" w:type="dxa"/>
            <w:gridSpan w:val="5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Результаты оценки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112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Номер фото/ скриншота, иного документа, подтверж-дающего наличие информации</w:t>
            </w:r>
          </w:p>
        </w:tc>
      </w:tr>
      <w:tr w:rsidR="005F2761">
        <w:trPr>
          <w:trHeight w:val="23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1. Открытость и доступность информации об организации </w:t>
            </w:r>
          </w:p>
        </w:tc>
        <w:tc>
          <w:tcPr>
            <w:tcW w:w="3942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1.2. Наличие на официальном сайте организации социальной сферы в сети Интернет информации дистанционных способах обратной св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язи и взаимодействия с получателями услуг и их функционирование: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наличие</w:t>
            </w:r>
          </w:p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1 – да, </w:t>
            </w:r>
          </w:p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0 - нет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функционирование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итоговое значение </w:t>
            </w:r>
          </w:p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если значение в столбце 3 = 1, то произведение значений столбца 2 и 4,</w:t>
            </w:r>
          </w:p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если столбец 3=0, то «нет информации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проводилась ли проверка: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1 – да, 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нет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-39" w:right="-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да, 0,5 – не в полной мере (несоответствие более 60% установленных требований/ рекомендаций),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0 - нет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761">
        <w:trPr>
          <w:trHeight w:val="2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 w:line="216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3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34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 (по указанному номеру отвечает сотрудник организации, общается вежливо и предоставляет ответы на вопросы получателя услуг)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Коммуникация по телефону доступна получателям услуг, но общение происходит не в доброжелательной форме, дозвониться сложн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или</w:t>
            </w:r>
          </w:p>
          <w:p w:rsidR="005F2761" w:rsidRDefault="007F1B9F">
            <w:pPr>
              <w:widowControl w:val="0"/>
              <w:spacing w:after="0" w:line="216" w:lineRule="auto"/>
              <w:ind w:left="-90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общении с представителем организации происходит переадресация на других специалистов, которым дозвониться невозможно, ответ на поставленный вопрос недоступен  </w:t>
            </w:r>
          </w:p>
          <w:p w:rsidR="005F2761" w:rsidRDefault="007F1B9F">
            <w:pPr>
              <w:widowControl w:val="0"/>
              <w:spacing w:after="0" w:line="216" w:lineRule="auto"/>
              <w:ind w:left="-90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Если оба недостатка – </w:t>
            </w:r>
          </w:p>
          <w:p w:rsidR="005F2761" w:rsidRDefault="007F1B9F">
            <w:pPr>
              <w:widowControl w:val="0"/>
              <w:spacing w:after="0" w:line="216" w:lineRule="auto"/>
              <w:ind w:left="-90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баллов</w:t>
            </w:r>
          </w:p>
        </w:tc>
        <w:tc>
          <w:tcPr>
            <w:tcW w:w="13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34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Электронная почта (можно отправить сообщение, получить информацию о его доставке и прочтении, предоставляется ответ в течение суток о полученном сообщении и ответ, либо информация о сроках содержательного ответа)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 на 2 тестовых письма не получен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течение недели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или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Пришло сообщение о несуществующем адресе</w:t>
            </w:r>
          </w:p>
        </w:tc>
        <w:tc>
          <w:tcPr>
            <w:tcW w:w="13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3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Электронные сервисы (указанные сервисы позволяют оставить сообщение, коммуникация по обращению ведется непосредственно на сайте или через внешние сервисы (почта, чат, мессенджер и пр.), консультация предоставляется в полном объеме по запрос):</w:t>
            </w:r>
          </w:p>
          <w:p w:rsidR="005F2761" w:rsidRDefault="007F1B9F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форма для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одачи электронного обращения (жалобы, предложения)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/>
        </w:tc>
        <w:tc>
          <w:tcPr>
            <w:tcW w:w="17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/>
        </w:tc>
        <w:tc>
          <w:tcPr>
            <w:tcW w:w="16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761" w:rsidRDefault="005F2761"/>
        </w:tc>
        <w:tc>
          <w:tcPr>
            <w:tcW w:w="31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 или жалоба формируется, но ответа о получении, формах и сроках ответа не предоставляется</w:t>
            </w:r>
          </w:p>
        </w:tc>
        <w:tc>
          <w:tcPr>
            <w:tcW w:w="13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1533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получение консультации по оказываемым услугам и пр.</w:t>
            </w:r>
          </w:p>
          <w:p w:rsidR="005F2761" w:rsidRDefault="005F2761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запросу на сайте с просьбой о консультации по пакету документов, необходимых для получения услуги, был получен ответ о необходимости очного посещения для получения необходимой информации </w:t>
            </w:r>
          </w:p>
        </w:tc>
        <w:tc>
          <w:tcPr>
            <w:tcW w:w="13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34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«Часто задаваемые вопросы»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Техническая возможность выражения мнения получателем услуг о качестве условий оказания услуг (наличие анкеты для опроса, гиперссылки или QR-кода для перехода на нее)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Анкета размещена, но кнопка «отправить» не работает</w:t>
            </w:r>
          </w:p>
          <w:p w:rsidR="005F2761" w:rsidRDefault="007F1B9F">
            <w:pPr>
              <w:widowControl w:val="0"/>
              <w:tabs>
                <w:tab w:val="left" w:pos="665"/>
                <w:tab w:val="center" w:pos="884"/>
              </w:tabs>
              <w:spacing w:after="0" w:line="216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ab/>
              <w:t>или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Приведенный QR-код не ведет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страницу анкеты) </w:t>
            </w:r>
          </w:p>
        </w:tc>
        <w:tc>
          <w:tcPr>
            <w:tcW w:w="13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53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Иное (указать)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/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/>
        </w:tc>
        <w:tc>
          <w:tcPr>
            <w:tcW w:w="1704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/>
        </w:tc>
        <w:tc>
          <w:tcPr>
            <w:tcW w:w="1698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bottom"/>
          </w:tcPr>
          <w:p w:rsidR="005F2761" w:rsidRDefault="005F2761"/>
        </w:tc>
        <w:tc>
          <w:tcPr>
            <w:tcW w:w="3193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чат-бот с получателями услуги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4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bottom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3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bottom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61">
        <w:trPr>
          <w:trHeight w:val="981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ссылки на социальные сети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Страница «ВКонтакте» есть, но она не ведется, размещена информация годичной давности, ответа на сообщение в течение недели не поступило</w:t>
            </w:r>
          </w:p>
        </w:tc>
        <w:tc>
          <w:tcPr>
            <w:tcW w:w="13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ссылка на формирование обращения на Едином портала государственных и муниципальных услуг (ЕПГУ)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/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/>
        </w:tc>
        <w:tc>
          <w:tcPr>
            <w:tcW w:w="31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Ссылка ведет не на форму подачи обращения, а просто в тематический раздел ЕПГУ. Необходимы дополнительные действия для перехода к ожидаемому функционалу</w:t>
            </w:r>
          </w:p>
        </w:tc>
        <w:tc>
          <w:tcPr>
            <w:tcW w:w="13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5F276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 дистанционных способов взаимодействия: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сумма </w:t>
            </w:r>
          </w:p>
          <w:p w:rsidR="005F2761" w:rsidRDefault="007F1B9F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по столбцу</w:t>
            </w:r>
          </w:p>
        </w:tc>
        <w:tc>
          <w:tcPr>
            <w:tcW w:w="31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  <w:vAlign w:val="center"/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</w:tcPr>
          <w:p w:rsidR="005F2761" w:rsidRDefault="005F276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2761" w:rsidRDefault="005F2761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5F2761" w:rsidRDefault="007F1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 w:clear="all"/>
      </w:r>
    </w:p>
    <w:p w:rsidR="005F2761" w:rsidRDefault="007F1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Чек-лист проверки комфортности условий оказания услуг </w:t>
      </w:r>
    </w:p>
    <w:p w:rsidR="005F2761" w:rsidRDefault="007F1B9F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дошкольной образовательной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организации</w:t>
      </w:r>
    </w:p>
    <w:p w:rsidR="005F2761" w:rsidRDefault="007F1B9F">
      <w:pPr>
        <w:widowControl w:val="0"/>
        <w:spacing w:after="0" w:line="276" w:lineRule="auto"/>
        <w:ind w:left="709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(разработан на основании Приложения 2 к Порядку действий в рамках сбора информации о качестве условий оказания услуг Методических рекомендаций по организации работы в рамках проведения оценки качества условий оказания услуг организациями в сфере культуры, </w:t>
      </w:r>
      <w:r>
        <w:rPr>
          <w:rFonts w:ascii="Times New Roman" w:hAnsi="Times New Roman" w:cs="Times New Roman"/>
          <w:sz w:val="18"/>
          <w:szCs w:val="18"/>
        </w:rPr>
        <w:t xml:space="preserve">охраны здоровья, образования, социального обслуживания и федеральными учреждениями медико-социальной экспертизы, утвержденных приказом </w:t>
      </w:r>
      <w:r>
        <w:rPr>
          <w:rFonts w:ascii="Times New Roman" w:eastAsia="Times New Roman" w:hAnsi="Times New Roman" w:cs="Times New Roman"/>
          <w:sz w:val="18"/>
          <w:szCs w:val="18"/>
        </w:rPr>
        <w:t>Минтруда России от 28.12.2023 года № 899, и Методических рекомендации 2024 года к единому порядку расчета показателей нез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</w:t>
      </w:r>
      <w:r>
        <w:rPr>
          <w:rFonts w:ascii="Times New Roman" w:eastAsia="Times New Roman" w:hAnsi="Times New Roman" w:cs="Times New Roman"/>
          <w:sz w:val="18"/>
          <w:szCs w:val="18"/>
        </w:rPr>
        <w:t>программам профессионального обучения, дополнительным общеобразовательным программам (с учетом отраслевых особенностей)</w:t>
      </w:r>
    </w:p>
    <w:p w:rsidR="005F2761" w:rsidRDefault="007F1B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эксперта_______________________________________________________</w:t>
      </w:r>
    </w:p>
    <w:p w:rsidR="005F2761" w:rsidRDefault="007F1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 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:rsidR="005F2761" w:rsidRDefault="007F1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44sinio"/>
      <w:bookmarkEnd w:id="5"/>
      <w:r>
        <w:rPr>
          <w:rFonts w:ascii="Times New Roman" w:eastAsia="Times New Roman" w:hAnsi="Times New Roman" w:cs="Times New Roman"/>
          <w:i/>
          <w:color w:val="000000"/>
        </w:rPr>
        <w:t>Проставьте соответствующие баллы в пустых ячейках формы</w:t>
      </w:r>
    </w:p>
    <w:tbl>
      <w:tblPr>
        <w:tblStyle w:val="StGen9"/>
        <w:tblW w:w="15767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619"/>
        <w:gridCol w:w="2383"/>
        <w:gridCol w:w="3114"/>
        <w:gridCol w:w="10"/>
        <w:gridCol w:w="1125"/>
        <w:gridCol w:w="2694"/>
        <w:gridCol w:w="10"/>
        <w:gridCol w:w="1478"/>
        <w:gridCol w:w="10"/>
        <w:gridCol w:w="2048"/>
        <w:gridCol w:w="1276"/>
      </w:tblGrid>
      <w:tr w:rsidR="005F2761">
        <w:trPr>
          <w:trHeight w:val="2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7F1B9F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Критерий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7F1B9F">
            <w:pPr>
              <w:widowControl w:val="0"/>
              <w:spacing w:after="0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F2761" w:rsidRDefault="007F1B9F">
            <w:pPr>
              <w:widowControl w:val="0"/>
              <w:spacing w:after="0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Результаты 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7F1B9F">
            <w:pPr>
              <w:widowControl w:val="0"/>
              <w:spacing w:after="0"/>
              <w:ind w:left="-108"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Номер фото/ скриншота, иного документа, подтверж-дающего наличие и состояние условий комфортности</w:t>
            </w:r>
          </w:p>
        </w:tc>
      </w:tr>
      <w:tr w:rsidR="005F2761">
        <w:trPr>
          <w:trHeight w:val="253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2. Комфортность условий предоставления </w:t>
            </w:r>
          </w:p>
          <w:p w:rsidR="005F2761" w:rsidRDefault="007F1B9F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Обеспечение в организации социальной сферы комфортных условий для предоставления услуг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Характеристика состояния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наличие</w:t>
            </w: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1- да,</w:t>
            </w: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0 - нет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требованиям, состояние</w:t>
            </w: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хорошее (все характеристики 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беспечиваются)</w:t>
            </w: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0,5- удовлетворительное (часть характеристики отсутствует/не выполнено)</w:t>
            </w: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неудовлетворительное (отсутствуют все или большая часть характеристик)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итоговая оценка</w:t>
            </w: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столбцов 3 и 4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6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5F276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наличие в организации мест отдыха (рекреационных зон), оборудованных необходимой мебелью (стулья, кресла, скамьи и пр.)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количество мест достаточно для размещения посетителей во время «пиковой нагрузки» в организации</w:t>
            </w:r>
          </w:p>
        </w:tc>
        <w:tc>
          <w:tcPr>
            <w:tcW w:w="11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и понятность навигации внутри организации 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 каждом этаже размещены поэтажные схемы помещений, при необходимости они дублированы на первом этажах здания,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присутствуют указатели и кабинетные таблички, позволяющие идентифицировать помещения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организации,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 всему зданию размещены специальные ук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азатели, информирующие об основных и запасных выходах из здания, расположении лифтов, пандусов и иных технических средств передвижения (для маломобильных групп граждан),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и доступность питьевой воды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 помещениях организации размещены кулеры с питьевой водой или обеспечена иная возможность доступа к питьевой воде (бутилированная вода, термоспоты, чайники и пр.),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вода в наличии в течение всего времени работы организации, имеются сменные бутыли, 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аключены договоры с поставщиками на поставку воды на срок не менее 6 месяцев,</w:t>
            </w: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доступ к питьевой воде обеспечен на каждом этаже здания и в каждом обособленном подразделении организации</w:t>
            </w:r>
          </w:p>
        </w:tc>
        <w:tc>
          <w:tcPr>
            <w:tcW w:w="11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и доступность санитарно-гигиенических помещений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санитарно-гигиенические помещения имеются в необходимом количестве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соблюдается чистота помещений, 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средства гигиены (мыло, бумажные полотенца, туалетная бумага) имеются в достаточном количестве, регулярно пополняется их наличие на местах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в помещениях обеспечен доступ к холодному и горячему водоснабжению, в случае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отсутствия централизованного горячего водоснабжения установлены водонагревающие устройства</w:t>
            </w:r>
          </w:p>
        </w:tc>
        <w:tc>
          <w:tcPr>
            <w:tcW w:w="11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санитарное состояние помещений организации </w:t>
            </w:r>
          </w:p>
        </w:tc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наличие и соблюдение графика уборки в помещениях организации,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уборка проводится с использованием чистящих средств, средств, предусмотрено проведение дезинфекционных мероприятий с соблюдением установленных санитарно-эпидемиологических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омещениях организации отсутствуют посторонние (неприятные) запахи, грибок, плесень, а также насекомые, грызуны и следы их жизнедеятельности; 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 помещениях организации и на прилегающей территории оборудованы специальные места для сбора мусора (урны, уличн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ые мусоросборники и т.п.)</w:t>
            </w:r>
          </w:p>
          <w:p w:rsidR="005F2761" w:rsidRDefault="007F1B9F">
            <w:pPr>
              <w:widowControl w:val="0"/>
              <w:spacing w:after="0"/>
              <w:ind w:left="41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в медицинских организациях и помещениях медицинского назначения дополнительно соблюдаются соответствующие санитарно-эпидемиологические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617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 выполненных условий комфортности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  <w:vAlign w:val="bottom"/>
          </w:tcPr>
          <w:p w:rsidR="005F2761" w:rsidRDefault="005F2761"/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Сумма по столбцу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  <w:vAlign w:val="bottom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</w:tcPr>
          <w:p w:rsidR="005F2761" w:rsidRDefault="005F27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2761" w:rsidRDefault="005F2761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 руководителя дошкольной образовательной организации 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  <w:r>
        <w:br w:type="page" w:clear="all"/>
      </w:r>
    </w:p>
    <w:p w:rsidR="005F2761" w:rsidRDefault="007F1B9F">
      <w:pPr>
        <w:widowControl w:val="0"/>
        <w:spacing w:after="0" w:line="276" w:lineRule="auto"/>
        <w:ind w:left="709" w:hanging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Чек-лист проверки доступност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услуг </w:t>
      </w:r>
    </w:p>
    <w:p w:rsidR="005F2761" w:rsidRDefault="007F1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дошкольной образовательной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инвалидов</w:t>
      </w:r>
    </w:p>
    <w:p w:rsidR="005F2761" w:rsidRDefault="007F1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(разработан на основании Приложения 2 к Порядку действий в рамках сбора информации о качестве условий оказания услуг Методических реком</w:t>
      </w:r>
      <w:r>
        <w:rPr>
          <w:rFonts w:ascii="Times New Roman" w:hAnsi="Times New Roman" w:cs="Times New Roman"/>
          <w:sz w:val="18"/>
          <w:szCs w:val="18"/>
        </w:rPr>
        <w:t xml:space="preserve">ендаций по организации работы в рамках проведения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утвержденных приказом </w:t>
      </w:r>
      <w:r>
        <w:rPr>
          <w:rFonts w:ascii="Times New Roman" w:eastAsia="Times New Roman" w:hAnsi="Times New Roman" w:cs="Times New Roman"/>
          <w:sz w:val="18"/>
          <w:szCs w:val="18"/>
        </w:rPr>
        <w:t>Минтруда России от 28.12.2023 года № 899, и Методических рекомендации 2024 года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</w:t>
      </w:r>
    </w:p>
    <w:p w:rsidR="005F2761" w:rsidRDefault="007F1B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эксперта___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5F2761" w:rsidRDefault="007F1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 ______________________________________________________</w:t>
      </w:r>
    </w:p>
    <w:p w:rsidR="005F2761" w:rsidRDefault="007F1B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Проставьте соответствующие баллы в пустых ячейках формы</w:t>
      </w:r>
    </w:p>
    <w:p w:rsidR="005F2761" w:rsidRDefault="005F2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10"/>
        <w:tblW w:w="15730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694"/>
        <w:gridCol w:w="2413"/>
        <w:gridCol w:w="3120"/>
        <w:gridCol w:w="15"/>
        <w:gridCol w:w="1084"/>
        <w:gridCol w:w="2585"/>
        <w:gridCol w:w="15"/>
        <w:gridCol w:w="1473"/>
        <w:gridCol w:w="15"/>
        <w:gridCol w:w="1899"/>
        <w:gridCol w:w="1417"/>
      </w:tblGrid>
      <w:tr w:rsidR="005F2761">
        <w:trPr>
          <w:trHeight w:val="2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7F1B9F">
            <w:pPr>
              <w:widowControl w:val="0"/>
              <w:spacing w:after="0" w:line="240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Критерий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7F1B9F">
            <w:pPr>
              <w:widowControl w:val="0"/>
              <w:spacing w:after="0" w:line="240" w:lineRule="auto"/>
              <w:ind w:left="-70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F2761" w:rsidRDefault="007F1B9F">
            <w:pPr>
              <w:widowControl w:val="0"/>
              <w:spacing w:after="0" w:line="240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Результаты 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7F1B9F">
            <w:pPr>
              <w:widowControl w:val="0"/>
              <w:spacing w:after="0" w:line="240" w:lineRule="auto"/>
              <w:ind w:left="-129" w:right="-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Номер фото/ скриншота, иного документа, подтверж-дающего наличие и состояние условий доступности</w:t>
            </w:r>
          </w:p>
        </w:tc>
      </w:tr>
      <w:tr w:rsidR="005F2761">
        <w:trPr>
          <w:trHeight w:val="253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 w:line="240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3. Доступность услуг для инвалидов</w:t>
            </w:r>
          </w:p>
          <w:p w:rsidR="005F2761" w:rsidRDefault="005F2761">
            <w:pPr>
              <w:widowControl w:val="0"/>
              <w:spacing w:after="0" w:line="240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3.1. Оборудование территории, прилегающей к организации социальной сферы, и ее помещений с учетом доступности для инвалидов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Характеристика состояния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Наличие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1- да, 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0 - нет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требованиям, состояние</w:t>
            </w:r>
          </w:p>
          <w:p w:rsidR="005F2761" w:rsidRDefault="007F1B9F">
            <w:pPr>
              <w:widowControl w:val="0"/>
              <w:spacing w:after="0" w:line="240" w:lineRule="auto"/>
              <w:ind w:left="-63" w:right="-9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хорошее (все характеристики обеспечиваются)</w:t>
            </w:r>
          </w:p>
          <w:p w:rsidR="005F2761" w:rsidRDefault="007F1B9F">
            <w:pPr>
              <w:widowControl w:val="0"/>
              <w:spacing w:after="0" w:line="240" w:lineRule="auto"/>
              <w:ind w:left="-63" w:right="-9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0,5- удовлетворительное (часть характеристики отсутствует/не выполнено)</w:t>
            </w:r>
          </w:p>
          <w:p w:rsidR="005F2761" w:rsidRDefault="007F1B9F">
            <w:pPr>
              <w:widowControl w:val="0"/>
              <w:spacing w:after="0" w:line="240" w:lineRule="auto"/>
              <w:ind w:left="-63" w:right="-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неудовлетворительное (отсутствуют все или большая часть характеристик)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40" w:lineRule="auto"/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Итоговая оценка</w:t>
            </w:r>
          </w:p>
          <w:p w:rsidR="005F2761" w:rsidRDefault="007F1B9F">
            <w:pPr>
              <w:widowControl w:val="0"/>
              <w:spacing w:after="0" w:line="240" w:lineRule="auto"/>
              <w:ind w:left="-68" w:right="-9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столбцов 3 и 4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F2761" w:rsidRDefault="005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оборудованных входных групп пандусами/подъемными платформами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оборудование входа ровной площадкой непосредственно перед входной дверью для обеспечения его доступности для инвалидов на креслах-колясках;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расположение пандуса и входной двери в соче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тании с направлением пути подхода;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при входе в организацию оборудована кнопка вызова сопровождающего;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оборудование выхода со специальных парковочных мест бордюрными пандусами, расположенными в непосредственной близости от них;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входные группы достаточ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 ширины для проезда инвалидной коляски;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использование специальных ограждений и тактильных направляющих для лиц с нарушениями зрения,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использование визуально отличающегося цвета поверхности пандуса от цвета горизонтальной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площадки;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прочное закрепле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 противоскользящей поверхности пандусов;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обеспечение возможности входа и выхода из здания, в том числе с использованием специальных подъемных устройств или обеспечение альтернативного способа преодоления перепада высот с помощью ступеней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8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размещение специальных парковочных мест рядом друг с другом, 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обозначение их местонахождения указателем, расположенным рядом с главным входом в здание;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обозначение специальных парковоч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мест наземной разметкой с обозначением как на поверхности парковки, так и с помощью вертикального знака;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создание системы управления/наблюдения, чтобы выделенные специальные парковочные места использовались только инвалидами;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расположение специальн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парковочных мест как можно ближе к входу в сооружение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возможность посадки в транспортное средство и высадки из него перед входом в объект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обеспечение противоскользящих свойств ступеней на лестницах,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обеспечено отличие по цвету и яркости предохранительной оковки каждой ступени лестниц от примыкающей к ней ступени, 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устройство входного вестибюля оборудовано с учетом предоставления инвалиду в кресле-коляске возможности проезда и поворота по ширине и длине помещения (не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1,8 м);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вдоль свободных участков стен в безбарьерной зоне организации предусмотрены опорные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поручни на высоте 0,7 и 0,9 м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сменных кресел-колясок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имеются в наличии сменные кресла-коляски в количестве, достаточном для обеспечения не менее 10% контингента получателей услуг-инвалидов единовременно, но не менее одного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специально оборудованных для инвалидов </w:t>
            </w:r>
          </w:p>
          <w:p w:rsidR="005F2761" w:rsidRDefault="007F1B9F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санитарно- гигиенических помещений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санитарно-гигиенические помещения размещены в непосредственной близости (доступности) от основных входов, въездов, коммуникационных узлов здания организации,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в санитарн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о- гигиенических помещениях имеется кнопка вызова персонала; 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ширина прохода между рядами кабин, между стеной и рядом кабин, между писсуарами и линией открытых дверей противостоящего ряда кабин - не менее 1,8 м 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санитарные комнаты оборудованы опорными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поручнями у унитазов и раковин;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используются адаптационные приспособления для инвалидов (специальные унитазы, раковины, раковины для инвалидов с локтевым смесителем; травмобезопасный держатель (крючок); травмобезопасное поворотное зеркало; сенсорный доза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 мыла; тактильные пиктограммы и др.)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 выполненных условий доступности услуг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Сумма по столбцу</w:t>
            </w:r>
          </w:p>
        </w:tc>
        <w:tc>
          <w:tcPr>
            <w:tcW w:w="18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Характеристика состояния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наличие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1- да, 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0 - нет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требованиям, состояние</w:t>
            </w:r>
          </w:p>
          <w:p w:rsidR="005F2761" w:rsidRDefault="007F1B9F">
            <w:pPr>
              <w:widowControl w:val="0"/>
              <w:spacing w:after="0" w:line="240" w:lineRule="auto"/>
              <w:ind w:left="-76" w:right="-1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хорошее (все характеристики обеспечиваются)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0,5- удовлетворительное (часть характеристики отсутствует/не выполнено)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неудовлетворительное (отсутствуют все или больш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ая часть характеристик)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Итоговая оценка</w:t>
            </w: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столбцов 3 и 4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Номер фото/ скриншота, иного документа, подтверж-дающего наличие и состояние условий доступности</w:t>
            </w: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F2761" w:rsidRDefault="005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наличие визуально-акустических систем, позволяющих получать информацию одновременно зрительным и звуковым способом;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табло, воспроизводящих визуально-речевые сообщения;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звуковых маяков для воспроизведения аудиосообщений с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информирования незрячих и слабовидящих посетителей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  <w:t>том, какие услуги могут получить,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как пройти и какие препятствия есть на пути следования;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наличие навигационных систем для слабовидящих и не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зрячих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наличие при входе в объект вывески с названием организации, графиком работы организации, плана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здания, выполненных рельефно-точечным шрифтом Брайля и на контрастном фоне;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в организации есть специалист сурдопереводчик (тифлосурдопереводчик) в штате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альтернативной версии официального сайта организации (учреждения) для инвалидов по зрению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Альтернативная (адаптированная) версия сайта должна: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предоставлять возможность масштабировать текст на сайте;</w:t>
            </w: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имеет экранный диктор (звуковой синтезатор речи) для слабовидящих и незрячих пользователей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Помощь, оказываемая работниками организации (учреждения), прошедшими необходимое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обучение (инструктирование) по сопровождению инвалидов в помещениях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(учреждения) и на прилегающей территории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организации:</w:t>
            </w:r>
          </w:p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проведены инструктаж или обучения для работников, работающих с инвалидами, по вопросам, связанным с обеспечением досту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пности для инвалидов объектов и услуг с учетом имеющихся у них ограничений и расстройств (есть журнал проведения инструктажа 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ознакомительными подписями сотрудников или копии документов о прохождении обучения);</w:t>
            </w:r>
          </w:p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обеспечена возможность вызова сотрудника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потребности получателя услуги-инвалида в сопровождения (специальную кнопку вызова или через службу охраны).</w:t>
            </w:r>
          </w:p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поступлении информации (вызова) о необходимости предоставления услуг по сопровождению лиц с ограниченными физическими возможностями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вующий работник организации:</w:t>
            </w:r>
          </w:p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обеспечивает сопровождение инвалида (лица с ОВЗ) до места предоставления услуги (до непосредственного специалиста), </w:t>
            </w:r>
          </w:p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оказывает содействие в беспрепятственном получении услуги,</w:t>
            </w:r>
          </w:p>
          <w:p w:rsidR="005F2761" w:rsidRDefault="007F1B9F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сопровождает до выхода из здания после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ния услуги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2761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 выполненных условий доступности услуг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61" w:rsidRDefault="005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5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:rsidR="005F2761" w:rsidRDefault="007F1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Сумма по столбцу</w:t>
            </w:r>
          </w:p>
        </w:tc>
        <w:tc>
          <w:tcPr>
            <w:tcW w:w="18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  <w:vAlign w:val="bottom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themeColor="text1" w:fill="000000" w:themeFill="text1"/>
          </w:tcPr>
          <w:p w:rsidR="005F2761" w:rsidRDefault="005F2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F2761" w:rsidRDefault="005F2761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оценки _____________________</w:t>
      </w:r>
    </w:p>
    <w:p w:rsidR="005F2761" w:rsidRDefault="007F1B9F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5F2761" w:rsidRDefault="005F2761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5F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1276" w:bottom="737" w:left="1021" w:header="709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3134" w:date="2023-12-13T13:16:00Z" w:initials="3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добавить, что вносят сведения о результатах НОК на официальном сайте для рассмотрения и дальнейшего размещения уполномоченным органом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F7E0C5B" w16cex:dateUtc="2023-12-13T10:16:08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7E0C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9F" w:rsidRDefault="007F1B9F">
      <w:pPr>
        <w:spacing w:after="0" w:line="240" w:lineRule="auto"/>
      </w:pPr>
      <w:r>
        <w:separator/>
      </w:r>
    </w:p>
  </w:endnote>
  <w:endnote w:type="continuationSeparator" w:id="0">
    <w:p w:rsidR="007F1B9F" w:rsidRDefault="007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61" w:rsidRDefault="005F276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0307"/>
      <w:showingPlcHdr/>
      <w:docPartObj>
        <w:docPartGallery w:val="Page Numbers (Bottom of Page)"/>
        <w:docPartUnique/>
      </w:docPartObj>
    </w:sdtPr>
    <w:sdtEndPr/>
    <w:sdtContent>
      <w:p w:rsidR="005F2761" w:rsidRDefault="007F1B9F">
        <w:r>
          <w:t>    </w:t>
        </w:r>
      </w:p>
    </w:sdtContent>
  </w:sdt>
  <w:p w:rsidR="005F2761" w:rsidRDefault="005F276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61" w:rsidRDefault="005F276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9F" w:rsidRDefault="007F1B9F">
      <w:pPr>
        <w:spacing w:after="0" w:line="240" w:lineRule="auto"/>
      </w:pPr>
      <w:r>
        <w:separator/>
      </w:r>
    </w:p>
  </w:footnote>
  <w:footnote w:type="continuationSeparator" w:id="0">
    <w:p w:rsidR="007F1B9F" w:rsidRDefault="007F1B9F">
      <w:pPr>
        <w:spacing w:after="0" w:line="240" w:lineRule="auto"/>
      </w:pPr>
      <w:r>
        <w:continuationSeparator/>
      </w:r>
    </w:p>
  </w:footnote>
  <w:footnote w:id="1">
    <w:p w:rsidR="005F2761" w:rsidRDefault="007F1B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Эксперт – представитель организации, осуществляющей сбор и обобщение информации (Оператора), представитель Общественного совета по НОК, либо независимый эксперт, участие которого в сборе информации согласовано с уполномоченным органом исполнительной вл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асти (Заказчиком).</w:t>
      </w:r>
    </w:p>
  </w:footnote>
  <w:footnote w:id="2">
    <w:p w:rsidR="005F2761" w:rsidRDefault="007F1B9F">
      <w:pPr>
        <w:tabs>
          <w:tab w:val="left" w:pos="1526"/>
          <w:tab w:val="left" w:pos="3260"/>
          <w:tab w:val="left" w:pos="445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Основания для установления объема информации по показателю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(перечень нормативных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правовых актов, устанавливающих перечень информации, которая размещается на информационных ресурсах организации)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приведены в приложении. Конкретный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организаций, подлежащих НОК.</w:t>
      </w:r>
    </w:p>
  </w:footnote>
  <w:footnote w:id="3">
    <w:p w:rsidR="005F2761" w:rsidRDefault="007F1B9F">
      <w:pPr>
        <w:pStyle w:val="af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</w:rPr>
        <w:footnoteRef/>
      </w:r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>Оценка позиций 1-6, 24-29, 48-57, 59-61 происходит по алгоритму: 1 – и</w:t>
      </w:r>
      <w:r>
        <w:rPr>
          <w:rFonts w:ascii="Times New Roman" w:hAnsi="Times New Roman" w:cs="Times New Roman"/>
          <w:sz w:val="20"/>
          <w:szCs w:val="20"/>
        </w:rPr>
        <w:t>нформация представлена; 0 – информация не представлена.</w:t>
      </w:r>
    </w:p>
  </w:footnote>
  <w:footnote w:id="4">
    <w:p w:rsidR="005F2761" w:rsidRDefault="007F1B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t xml:space="preserve">4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 неизбыточностью понимается конкретность и достаточность информации в соответствии с заявленным требованием. </w:t>
      </w:r>
    </w:p>
    <w:p w:rsidR="005F2761" w:rsidRDefault="007F1B9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 xml:space="preserve"> Оценка позиций 1-2, 9-11, 15  происходит по алгоритму: 1 – информация представлен</w:t>
      </w:r>
      <w:r>
        <w:rPr>
          <w:rFonts w:ascii="Times New Roman" w:hAnsi="Times New Roman" w:cs="Times New Roman"/>
          <w:sz w:val="20"/>
          <w:szCs w:val="20"/>
        </w:rPr>
        <w:t>а; 0 – информация не представлена.</w:t>
      </w:r>
    </w:p>
    <w:p w:rsidR="005F2761" w:rsidRDefault="005F276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</w:footnote>
  <w:footnote w:id="5">
    <w:p w:rsidR="005F2761" w:rsidRDefault="007F1B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требованиями СП 2.1.3678-20 "Санитарно-эпидемиоло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для организаций соответствующей сферы. </w:t>
      </w:r>
    </w:p>
  </w:footnote>
  <w:footnote w:id="6">
    <w:p w:rsidR="005F2761" w:rsidRDefault="005F27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  <w:footnote w:id="7">
    <w:p w:rsidR="005F2761" w:rsidRDefault="007F1B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 надлежащим размещением понимается размещение информации в тех местах, где она доступна инвалиду. Например, тактильные таблички с указателями выходов, поворотов, лестниц должны быть не только в одном месте на входе, но и по всему пути передвижения и</w:t>
      </w:r>
      <w:r>
        <w:rPr>
          <w:rFonts w:ascii="Times New Roman" w:hAnsi="Times New Roman" w:cs="Times New Roman"/>
          <w:color w:val="000000"/>
          <w:sz w:val="20"/>
          <w:szCs w:val="20"/>
        </w:rPr>
        <w:t>нвалида.</w:t>
      </w:r>
    </w:p>
  </w:footnote>
  <w:footnote w:id="8">
    <w:p w:rsidR="005F2761" w:rsidRDefault="007F1B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случае, если лица ограничениями по зрению и/или слуху являются целевыми получателями услуги, может быть дополнительно проведена проверка на соответствие требованиям, установленным в соответствии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smallCaps/>
          <w:color w:val="000000"/>
          <w:sz w:val="20"/>
          <w:szCs w:val="20"/>
          <w:shd w:val="clear" w:color="auto" w:fill="FEFEFE"/>
        </w:rPr>
        <w:t>ГОСТ Р 52872-2019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EFEFE"/>
        </w:rPr>
        <w:t xml:space="preserve"> «Интернет-ресурсы и другая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EFEFE"/>
        </w:rPr>
        <w:t>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 Для удовлетворения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EFEFE"/>
        </w:rPr>
        <w:t xml:space="preserve"> потребностей различных групп пользователей в различных ситуациях стандарт определяет три уровня соответствия: A (приемлемый), AA (высокий) и AAA (наивысший). При оценке в рамках НОК допустимым может считаться соответствие уровню 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61" w:rsidRDefault="005F276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61" w:rsidRDefault="005F2761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61" w:rsidRDefault="005F276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21F53"/>
    <w:multiLevelType w:val="hybridMultilevel"/>
    <w:tmpl w:val="D20A481C"/>
    <w:lvl w:ilvl="0" w:tplc="F2380416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3E128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70EF3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2F2ACE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5EAC5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2CC71F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56C75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6EA5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91C5A0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715BA8"/>
    <w:multiLevelType w:val="hybridMultilevel"/>
    <w:tmpl w:val="26A4D9FA"/>
    <w:lvl w:ilvl="0" w:tplc="F8A46988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F883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A5A36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6809E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1A9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046FAC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59A7E0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DAC2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336F65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F063C5"/>
    <w:multiLevelType w:val="hybridMultilevel"/>
    <w:tmpl w:val="948419DA"/>
    <w:lvl w:ilvl="0" w:tplc="232464E0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403CA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485F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BBC700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006E0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27EFAC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706317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2707F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547E9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985A23"/>
    <w:multiLevelType w:val="hybridMultilevel"/>
    <w:tmpl w:val="5BC046F4"/>
    <w:lvl w:ilvl="0" w:tplc="511AD6A0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73F86A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A46F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76CF74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69288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178720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8622C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4628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7B0BE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C56B7B"/>
    <w:multiLevelType w:val="hybridMultilevel"/>
    <w:tmpl w:val="3FB8F5E6"/>
    <w:lvl w:ilvl="0" w:tplc="149AB812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22DA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E30C5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6C2952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527A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EAC288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318A1E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38E8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8D0A38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71A00B6"/>
    <w:multiLevelType w:val="hybridMultilevel"/>
    <w:tmpl w:val="0EFA11E8"/>
    <w:lvl w:ilvl="0" w:tplc="4016E1E0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1368F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96D5A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2C05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04E1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EC49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BA8C08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B6A8A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BEC5B6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DE4B1C"/>
    <w:multiLevelType w:val="hybridMultilevel"/>
    <w:tmpl w:val="49E895C8"/>
    <w:lvl w:ilvl="0" w:tplc="B5FC081A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27BEE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AC01D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E1484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CEE5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6EB7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56C363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79C9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560F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F70E3E"/>
    <w:multiLevelType w:val="hybridMultilevel"/>
    <w:tmpl w:val="392834AA"/>
    <w:lvl w:ilvl="0" w:tplc="C3144CEE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AC1A04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104D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B2461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1EA46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9E239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A58341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78E11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F24A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FEF2E7D"/>
    <w:multiLevelType w:val="hybridMultilevel"/>
    <w:tmpl w:val="6E3A3BEC"/>
    <w:lvl w:ilvl="0" w:tplc="432AF88A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5F76AB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E0A42F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8ED1F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9FA0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D69EE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896B5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7E2E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5C825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00D1DB5"/>
    <w:multiLevelType w:val="hybridMultilevel"/>
    <w:tmpl w:val="A4E2E2F2"/>
    <w:lvl w:ilvl="0" w:tplc="E9503316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57C6B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4665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91EFE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5E8D4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5D4D9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F1822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2E8C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52483C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6C30613"/>
    <w:multiLevelType w:val="hybridMultilevel"/>
    <w:tmpl w:val="9216D5B2"/>
    <w:lvl w:ilvl="0" w:tplc="BA70E482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E41EE6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05AE85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EB20B3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C88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E5EE8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41A36D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79086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AA2C3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FC1A9F"/>
    <w:multiLevelType w:val="hybridMultilevel"/>
    <w:tmpl w:val="DE86712E"/>
    <w:lvl w:ilvl="0" w:tplc="8910C5FE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55E6D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E481D0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11A339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A581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F2254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93074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BBC12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F42D36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D1C6C38"/>
    <w:multiLevelType w:val="hybridMultilevel"/>
    <w:tmpl w:val="0010E60E"/>
    <w:lvl w:ilvl="0" w:tplc="4ED82C96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D500FA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E8F35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956ECA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E70E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AC46A6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0AEF90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D5474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0E07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9B4198"/>
    <w:multiLevelType w:val="hybridMultilevel"/>
    <w:tmpl w:val="29CCDB12"/>
    <w:lvl w:ilvl="0" w:tplc="D7289C16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845C3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BA06D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3E4E4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B6463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F0A671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C7CDC2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D48F9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C7AF0F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61"/>
    <w:rsid w:val="005F2761"/>
    <w:rsid w:val="007F1B9F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0857-CC94-44D8-B075-00711212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210">
    <w:name w:val="Заголовок 21"/>
    <w:basedOn w:val="a"/>
    <w:next w:val="a"/>
    <w:link w:val="22"/>
    <w:pPr>
      <w:keepNext/>
      <w:keepLines/>
      <w:spacing w:before="40" w:after="0" w:line="276" w:lineRule="auto"/>
      <w:outlineLvl w:val="1"/>
    </w:pPr>
    <w:rPr>
      <w:color w:val="2F5496"/>
      <w:sz w:val="26"/>
      <w:szCs w:val="26"/>
    </w:rPr>
  </w:style>
  <w:style w:type="paragraph" w:customStyle="1" w:styleId="310">
    <w:name w:val="Заголовок 31"/>
    <w:basedOn w:val="a"/>
    <w:next w:val="a"/>
    <w:link w:val="32"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customStyle="1" w:styleId="410">
    <w:name w:val="Заголовок 41"/>
    <w:basedOn w:val="a"/>
    <w:next w:val="a"/>
    <w:link w:val="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0">
    <w:name w:val="Заголовок 51"/>
    <w:basedOn w:val="a"/>
    <w:next w:val="a"/>
    <w:link w:val="52"/>
    <w:pPr>
      <w:keepNext/>
      <w:keepLines/>
      <w:spacing w:before="220" w:after="40"/>
      <w:outlineLvl w:val="4"/>
    </w:pPr>
    <w:rPr>
      <w:b/>
    </w:rPr>
  </w:style>
  <w:style w:type="paragraph" w:customStyle="1" w:styleId="610">
    <w:name w:val="Заголовок 61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3">
    <w:name w:val="Верх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StGen14">
    <w:name w:val="StGen1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header"/>
    <w:basedOn w:val="a"/>
    <w:link w:val="1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0"/>
    <w:uiPriority w:val="99"/>
  </w:style>
  <w:style w:type="paragraph" w:styleId="aff1">
    <w:name w:val="footer"/>
    <w:basedOn w:val="a"/>
    <w:link w:val="1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1"/>
    <w:uiPriority w:val="99"/>
  </w:style>
  <w:style w:type="paragraph" w:customStyle="1" w:styleId="19">
    <w:name w:val="Обычный1"/>
  </w:style>
  <w:style w:type="paragraph" w:customStyle="1" w:styleId="26">
    <w:name w:val="Обычный2"/>
  </w:style>
  <w:style w:type="character" w:customStyle="1" w:styleId="searchresult">
    <w:name w:val="search_result"/>
    <w:basedOn w:val="a0"/>
  </w:style>
  <w:style w:type="character" w:customStyle="1" w:styleId="message-time">
    <w:name w:val="message-time"/>
    <w:basedOn w:val="a0"/>
  </w:style>
  <w:style w:type="character" w:customStyle="1" w:styleId="placeholder-text">
    <w:name w:val="placeholder-text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nlyoffice.com/commentsIdsDocument" Target="commentsIds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101D-E8B1-402D-8711-7276A5B2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Черненкова Светлана Владимировна</dc:creator>
  <cp:lastModifiedBy>Елена Федеровна Дмитриева</cp:lastModifiedBy>
  <cp:revision>2</cp:revision>
  <dcterms:created xsi:type="dcterms:W3CDTF">2024-09-05T14:36:00Z</dcterms:created>
  <dcterms:modified xsi:type="dcterms:W3CDTF">2024-09-05T14:36:00Z</dcterms:modified>
</cp:coreProperties>
</file>